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770DD" w:rsidRPr="001770DD">
        <w:trPr>
          <w:tblCellSpacing w:w="15" w:type="dxa"/>
        </w:trPr>
        <w:tc>
          <w:tcPr>
            <w:tcW w:w="0" w:type="auto"/>
            <w:vAlign w:val="center"/>
            <w:hideMark/>
          </w:tcPr>
          <w:p w:rsidR="001770DD" w:rsidRPr="001770DD" w:rsidRDefault="001770DD" w:rsidP="001770DD">
            <w:pPr>
              <w:spacing w:after="0" w:line="240" w:lineRule="auto"/>
              <w:textAlignment w:val="top"/>
              <w:rPr>
                <w:rFonts w:ascii="Arial" w:eastAsia="Times New Roman" w:hAnsi="Arial" w:cs="Arial"/>
                <w:sz w:val="20"/>
                <w:szCs w:val="20"/>
                <w:lang w:eastAsia="tr-TR"/>
              </w:rPr>
            </w:pPr>
            <w:bookmarkStart w:id="0" w:name="_GoBack"/>
            <w:r w:rsidRPr="001770DD">
              <w:rPr>
                <w:rFonts w:ascii="Arial" w:eastAsia="Times New Roman" w:hAnsi="Arial" w:cs="Arial"/>
                <w:b/>
                <w:bCs/>
                <w:color w:val="000080"/>
                <w:sz w:val="24"/>
                <w:szCs w:val="24"/>
                <w:lang w:eastAsia="tr-TR"/>
              </w:rPr>
              <w:t>2014 Yılı İçin Medya Hizmet Sağlayıcı Kuruluşların Ödeyeceği Kanal/Frekans Yıllık Kullanım Ücretleri Hakkında Genel Duyuru (17 Ocak 2014)</w:t>
            </w:r>
            <w:r w:rsidRPr="001770DD">
              <w:rPr>
                <w:rFonts w:ascii="Arial" w:eastAsia="Times New Roman" w:hAnsi="Arial" w:cs="Arial"/>
                <w:sz w:val="20"/>
                <w:szCs w:val="20"/>
                <w:lang w:eastAsia="tr-TR"/>
              </w:rPr>
              <w:t xml:space="preserve"> </w:t>
            </w:r>
            <w:bookmarkEnd w:id="0"/>
          </w:p>
        </w:tc>
      </w:tr>
      <w:tr w:rsidR="001770DD" w:rsidRPr="001770DD">
        <w:trPr>
          <w:tblCellSpacing w:w="15" w:type="dxa"/>
        </w:trPr>
        <w:tc>
          <w:tcPr>
            <w:tcW w:w="0" w:type="auto"/>
            <w:vAlign w:val="center"/>
            <w:hideMark/>
          </w:tcPr>
          <w:p w:rsidR="001770DD" w:rsidRPr="001770DD" w:rsidRDefault="001770DD" w:rsidP="001770DD">
            <w:pPr>
              <w:spacing w:after="0" w:line="240" w:lineRule="auto"/>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pict>
                <v:rect id="_x0000_i1025" style="width:0;height:1.5pt" o:hralign="center" o:hrstd="t" o:hr="t" fillcolor="#a0a0a0" stroked="f"/>
              </w:pic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b/>
                <w:bCs/>
                <w:sz w:val="20"/>
                <w:szCs w:val="20"/>
                <w:lang w:eastAsia="tr-TR"/>
              </w:rPr>
              <w:t>2014 Yılı İçin Medya Hizmet Sağlayıcı Kuruluşların Ödeyeceği Kanal/Frekans Yıllık Kullanım Ücretleri Hakkında Genel Duyuru (17 Ocak 2014)</w: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6112 Sayılı Kanunun 42. ve Geçici 4. maddeleri gereğince, medya hizmet sağlayıcı kuruluşlardan her yıl kanal/frekans yıllık kullanım bedeli alınmaktadır. Radyo ve Televizyon Üst Kurulu Karasal Ortamda Yayında Olan Radyo ve Televizyon Kuruluşlarından Alınacak Televizyon Kanal ve Radyo Frekans Yıllık Kullanım Ücretlerine İlişkin Yönetmelik kapsamında, kanal/frekans yıllık kullanım bedelinin hesaplanmasında kullanılan katsayı her yıl Üst Kurulca belirlenmektedir. </w: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 xml:space="preserve">Radyo ve Televizyon Üst Kurulu söz konusu Yönetmeliğin Geçici 2. maddesi hükmü çerçevesinde, 15 Ocak 2014 tarihli ve 2014/3 sayılı toplantısında aldığı kararla, kanal/frekans yıllık kullanım ücretlerinin hesaplanmasına esas olan </w:t>
            </w:r>
            <w:proofErr w:type="gramStart"/>
            <w:r w:rsidRPr="001770DD">
              <w:rPr>
                <w:rFonts w:ascii="Arial" w:eastAsia="Times New Roman" w:hAnsi="Arial" w:cs="Arial"/>
                <w:sz w:val="20"/>
                <w:szCs w:val="20"/>
                <w:lang w:eastAsia="tr-TR"/>
              </w:rPr>
              <w:t>0.4</w:t>
            </w:r>
            <w:proofErr w:type="gramEnd"/>
            <w:r w:rsidRPr="001770DD">
              <w:rPr>
                <w:rFonts w:ascii="Arial" w:eastAsia="Times New Roman" w:hAnsi="Arial" w:cs="Arial"/>
                <w:sz w:val="20"/>
                <w:szCs w:val="20"/>
                <w:lang w:eastAsia="tr-TR"/>
              </w:rPr>
              <w:t xml:space="preserve"> (onda dört) K katsayısını, Maliye Bakanlığınca bu yıl için tespit ve ilan edilen %3,93 yeniden değerleme oranında artırarak, 2014 yılı için 0.41572 (yüz binde kırk bir bin beş yüz yetmiş iki) olarak belirlemiştir.     </w: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 xml:space="preserve">6112 Sayılı Kanunun Geçici 4. maddesinin 1. fıkrası çerçevesinde, karasal ortamdan yayın yapmakta olan medya hizmet sağlayıcı kuruluşların 2014 yılı için ödeyecekleri kanal/frekans yıllık kullanım ücretleri, söz konusu Yönetmelik kapsamında hesaplanarak kuruluşlara ve ödemenin yapılacağı T.C Ziraat Bankasına bildirilmiştir. </w: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Yönetmeliğin “Kanal ve frekans yıllık kullanım ücretinin ödenmesi” başlıklı 9. maddesinin 1 ve 2. bentlerinde; “(1)</w:t>
            </w:r>
            <w:r w:rsidRPr="001770DD">
              <w:rPr>
                <w:rFonts w:ascii="Arial" w:eastAsia="Times New Roman" w:hAnsi="Arial" w:cs="Arial"/>
                <w:i/>
                <w:iCs/>
                <w:sz w:val="20"/>
                <w:szCs w:val="20"/>
                <w:lang w:eastAsia="tr-TR"/>
              </w:rPr>
              <w:t xml:space="preserve">Kanal ve frekans yıllık kullanım ücreti, her yılın Ocak, Nisan, Temmuz ve Ekim aylarında olmak üzere dört eşit taksitte ve belirtilen ayların son iş gününe kadar kuruluşlar tarafından ödenir. (2) Birinci fıkra uyarınca yapılması gereken ödemelerde gecikilmesi hâlinde, Kanunun 42 </w:t>
            </w:r>
            <w:proofErr w:type="spellStart"/>
            <w:r w:rsidRPr="001770DD">
              <w:rPr>
                <w:rFonts w:ascii="Arial" w:eastAsia="Times New Roman" w:hAnsi="Arial" w:cs="Arial"/>
                <w:i/>
                <w:iCs/>
                <w:sz w:val="20"/>
                <w:szCs w:val="20"/>
                <w:lang w:eastAsia="tr-TR"/>
              </w:rPr>
              <w:t>nci</w:t>
            </w:r>
            <w:proofErr w:type="spellEnd"/>
            <w:r w:rsidRPr="001770DD">
              <w:rPr>
                <w:rFonts w:ascii="Arial" w:eastAsia="Times New Roman" w:hAnsi="Arial" w:cs="Arial"/>
                <w:i/>
                <w:iCs/>
                <w:sz w:val="20"/>
                <w:szCs w:val="20"/>
                <w:lang w:eastAsia="tr-TR"/>
              </w:rPr>
              <w:t xml:space="preserve"> ve geçici 4 üncü maddesi hükümlerine göre işlem yapılır</w:t>
            </w:r>
            <w:r w:rsidRPr="001770DD">
              <w:rPr>
                <w:rFonts w:ascii="Arial" w:eastAsia="Times New Roman" w:hAnsi="Arial" w:cs="Arial"/>
                <w:sz w:val="20"/>
                <w:szCs w:val="20"/>
                <w:lang w:eastAsia="tr-TR"/>
              </w:rPr>
              <w:t xml:space="preserve">” hükmü yer almaktadır. </w:t>
            </w:r>
            <w:proofErr w:type="gramStart"/>
            <w:r w:rsidRPr="001770DD">
              <w:rPr>
                <w:rFonts w:ascii="Arial" w:eastAsia="Times New Roman" w:hAnsi="Arial" w:cs="Arial"/>
                <w:sz w:val="20"/>
                <w:szCs w:val="20"/>
                <w:lang w:eastAsia="tr-TR"/>
              </w:rPr>
              <w:t xml:space="preserve">Anılan yönetmelik hükmü gereğince, tahakkuk eden 2014 yılı için kanal ve frekans yıllık kullanım ücretinin 2014 yılı Ocak, Nisan, Temmuz ve Ekim aylarında olmak üzere 4 (dört) eşit taksitte Radyo ve Televizyon Üst Kurulunun </w:t>
            </w:r>
            <w:r w:rsidRPr="001770DD">
              <w:rPr>
                <w:rFonts w:ascii="Arial" w:eastAsia="Times New Roman" w:hAnsi="Arial" w:cs="Arial"/>
                <w:b/>
                <w:bCs/>
                <w:sz w:val="20"/>
                <w:szCs w:val="20"/>
                <w:u w:val="single"/>
                <w:lang w:eastAsia="tr-TR"/>
              </w:rPr>
              <w:t xml:space="preserve">T.C. Ziraat Bankası Bilkent Şubesi nezdindeki Kurumsal Tahsilata veya ücreti başka bir bankadan yatırılacak veya internet bankacılığı ile EFT yapılacak ise TR 8400 0100 1762 0099 9999 5001 IBAN </w:t>
            </w:r>
            <w:proofErr w:type="spellStart"/>
            <w:r w:rsidRPr="001770DD">
              <w:rPr>
                <w:rFonts w:ascii="Arial" w:eastAsia="Times New Roman" w:hAnsi="Arial" w:cs="Arial"/>
                <w:b/>
                <w:bCs/>
                <w:sz w:val="20"/>
                <w:szCs w:val="20"/>
                <w:u w:val="single"/>
                <w:lang w:eastAsia="tr-TR"/>
              </w:rPr>
              <w:t>nolu</w:t>
            </w:r>
            <w:proofErr w:type="spellEnd"/>
            <w:r w:rsidRPr="001770DD">
              <w:rPr>
                <w:rFonts w:ascii="Arial" w:eastAsia="Times New Roman" w:hAnsi="Arial" w:cs="Arial"/>
                <w:b/>
                <w:bCs/>
                <w:sz w:val="20"/>
                <w:szCs w:val="20"/>
                <w:u w:val="single"/>
                <w:lang w:eastAsia="tr-TR"/>
              </w:rPr>
              <w:t xml:space="preserve"> Üst Kurul hesabına </w:t>
            </w:r>
            <w:r w:rsidRPr="001770DD">
              <w:rPr>
                <w:rFonts w:ascii="Arial" w:eastAsia="Times New Roman" w:hAnsi="Arial" w:cs="Arial"/>
                <w:sz w:val="20"/>
                <w:szCs w:val="20"/>
                <w:lang w:eastAsia="tr-TR"/>
              </w:rPr>
              <w:t xml:space="preserve">ödenmesi gerekmektedir. </w:t>
            </w:r>
            <w:proofErr w:type="gramEnd"/>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 xml:space="preserve">İlk taksit ödemesi </w:t>
            </w:r>
            <w:proofErr w:type="gramStart"/>
            <w:r w:rsidRPr="001770DD">
              <w:rPr>
                <w:rFonts w:ascii="Arial" w:eastAsia="Times New Roman" w:hAnsi="Arial" w:cs="Arial"/>
                <w:sz w:val="20"/>
                <w:szCs w:val="20"/>
                <w:lang w:eastAsia="tr-TR"/>
              </w:rPr>
              <w:t>01/01/2014</w:t>
            </w:r>
            <w:proofErr w:type="gramEnd"/>
            <w:r w:rsidRPr="001770DD">
              <w:rPr>
                <w:rFonts w:ascii="Arial" w:eastAsia="Times New Roman" w:hAnsi="Arial" w:cs="Arial"/>
                <w:sz w:val="20"/>
                <w:szCs w:val="20"/>
                <w:lang w:eastAsia="tr-TR"/>
              </w:rPr>
              <w:t xml:space="preserve">-31/01/2014 tarihlerinde; ikinci taksit ödemesi 01/04/2014-30/04/2014 tarihlerinde; üçüncü taksit ödemesi 01/07/2014-31/07/2014 tarihlerinde ve dördüncü taksit ödemesi 01/10/2014-31/10/2014 tarihlerinde yapılacaktır. Ödemenin peşin yapılması halinde ise, ücretler </w:t>
            </w:r>
            <w:proofErr w:type="gramStart"/>
            <w:r w:rsidRPr="001770DD">
              <w:rPr>
                <w:rFonts w:ascii="Arial" w:eastAsia="Times New Roman" w:hAnsi="Arial" w:cs="Arial"/>
                <w:sz w:val="20"/>
                <w:szCs w:val="20"/>
                <w:lang w:eastAsia="tr-TR"/>
              </w:rPr>
              <w:t>01/01/2014</w:t>
            </w:r>
            <w:proofErr w:type="gramEnd"/>
            <w:r w:rsidRPr="001770DD">
              <w:rPr>
                <w:rFonts w:ascii="Arial" w:eastAsia="Times New Roman" w:hAnsi="Arial" w:cs="Arial"/>
                <w:sz w:val="20"/>
                <w:szCs w:val="20"/>
                <w:lang w:eastAsia="tr-TR"/>
              </w:rPr>
              <w:t xml:space="preserve"> - 31/01/2014 tarihleri arasında aynı hesaba yatırılabilecektir. Ödemeye ilişkin </w:t>
            </w:r>
            <w:proofErr w:type="gramStart"/>
            <w:r w:rsidRPr="001770DD">
              <w:rPr>
                <w:rFonts w:ascii="Arial" w:eastAsia="Times New Roman" w:hAnsi="Arial" w:cs="Arial"/>
                <w:sz w:val="20"/>
                <w:szCs w:val="20"/>
                <w:lang w:eastAsia="tr-TR"/>
              </w:rPr>
              <w:t>dekontların</w:t>
            </w:r>
            <w:proofErr w:type="gramEnd"/>
            <w:r w:rsidRPr="001770DD">
              <w:rPr>
                <w:rFonts w:ascii="Arial" w:eastAsia="Times New Roman" w:hAnsi="Arial" w:cs="Arial"/>
                <w:sz w:val="20"/>
                <w:szCs w:val="20"/>
                <w:lang w:eastAsia="tr-TR"/>
              </w:rPr>
              <w:t xml:space="preserve"> Radyo ve Televizyon Üst Kurulu İdari ve Mali İşler Dairesi Başkanlığına gönderilmesi gerekmektedir.</w:t>
            </w:r>
          </w:p>
          <w:p w:rsidR="001770DD" w:rsidRPr="001770DD" w:rsidRDefault="001770DD" w:rsidP="001770DD">
            <w:pPr>
              <w:spacing w:line="240" w:lineRule="auto"/>
              <w:ind w:firstLine="720"/>
              <w:jc w:val="both"/>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 xml:space="preserve">6112 Sayılı Kanunun 42. ve Geçici 4. maddeleri gereğince, kanal ve frekans kullanım bedelini 42. maddeye göre ödemeyen kuruluşların karasal yayınları bir ay içinde Üst Kurulca durdurulur ve ödenmeyen Üst Kurul gelirlerine, </w:t>
            </w:r>
            <w:proofErr w:type="gramStart"/>
            <w:r w:rsidRPr="001770DD">
              <w:rPr>
                <w:rFonts w:ascii="Arial" w:eastAsia="Times New Roman" w:hAnsi="Arial" w:cs="Arial"/>
                <w:sz w:val="20"/>
                <w:szCs w:val="20"/>
                <w:lang w:eastAsia="tr-TR"/>
              </w:rPr>
              <w:t>21/7/1953</w:t>
            </w:r>
            <w:proofErr w:type="gramEnd"/>
            <w:r w:rsidRPr="001770DD">
              <w:rPr>
                <w:rFonts w:ascii="Arial" w:eastAsia="Times New Roman" w:hAnsi="Arial" w:cs="Arial"/>
                <w:sz w:val="20"/>
                <w:szCs w:val="20"/>
                <w:lang w:eastAsia="tr-TR"/>
              </w:rPr>
              <w:t xml:space="preserve"> tarihli ve 6183 Sayılı Amme Alacaklarının Tahsil Usulü Hakkında Kanunun 51. maddesine göre belirlenen gecikme zammı oranında faiz uygulanır.</w:t>
            </w:r>
          </w:p>
          <w:p w:rsidR="001770DD" w:rsidRPr="001770DD" w:rsidRDefault="001770DD" w:rsidP="001770DD">
            <w:pPr>
              <w:spacing w:after="0" w:line="360" w:lineRule="auto"/>
              <w:ind w:firstLine="566"/>
              <w:textAlignment w:val="top"/>
              <w:rPr>
                <w:rFonts w:ascii="Arial" w:eastAsia="Times New Roman" w:hAnsi="Arial" w:cs="Arial"/>
                <w:sz w:val="20"/>
                <w:szCs w:val="20"/>
                <w:lang w:eastAsia="tr-TR"/>
              </w:rPr>
            </w:pPr>
            <w:r w:rsidRPr="001770DD">
              <w:rPr>
                <w:rFonts w:ascii="Arial" w:eastAsia="Times New Roman" w:hAnsi="Arial" w:cs="Arial"/>
                <w:sz w:val="20"/>
                <w:szCs w:val="20"/>
                <w:lang w:eastAsia="tr-TR"/>
              </w:rPr>
              <w:t>İlan olunur.</w:t>
            </w:r>
          </w:p>
        </w:tc>
      </w:tr>
    </w:tbl>
    <w:p w:rsidR="0099789C" w:rsidRDefault="001770DD"/>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DD"/>
    <w:rsid w:val="001770DD"/>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4477">
      <w:bodyDiv w:val="1"/>
      <w:marLeft w:val="0"/>
      <w:marRight w:val="0"/>
      <w:marTop w:val="75"/>
      <w:marBottom w:val="0"/>
      <w:divBdr>
        <w:top w:val="none" w:sz="0" w:space="0" w:color="auto"/>
        <w:left w:val="none" w:sz="0" w:space="0" w:color="auto"/>
        <w:bottom w:val="none" w:sz="0" w:space="0" w:color="auto"/>
        <w:right w:val="none" w:sz="0" w:space="0" w:color="auto"/>
      </w:divBdr>
      <w:divsChild>
        <w:div w:id="1498768024">
          <w:marLeft w:val="0"/>
          <w:marRight w:val="0"/>
          <w:marTop w:val="0"/>
          <w:marBottom w:val="0"/>
          <w:divBdr>
            <w:top w:val="none" w:sz="0" w:space="0" w:color="auto"/>
            <w:left w:val="none" w:sz="0" w:space="0" w:color="auto"/>
            <w:bottom w:val="none" w:sz="0" w:space="0" w:color="auto"/>
            <w:right w:val="none" w:sz="0" w:space="0" w:color="auto"/>
          </w:divBdr>
          <w:divsChild>
            <w:div w:id="38557194">
              <w:marLeft w:val="0"/>
              <w:marRight w:val="0"/>
              <w:marTop w:val="0"/>
              <w:marBottom w:val="240"/>
              <w:divBdr>
                <w:top w:val="none" w:sz="0" w:space="0" w:color="auto"/>
                <w:left w:val="none" w:sz="0" w:space="0" w:color="auto"/>
                <w:bottom w:val="none" w:sz="0" w:space="0" w:color="auto"/>
                <w:right w:val="none" w:sz="0" w:space="0" w:color="auto"/>
              </w:divBdr>
            </w:div>
            <w:div w:id="1833370128">
              <w:marLeft w:val="0"/>
              <w:marRight w:val="0"/>
              <w:marTop w:val="0"/>
              <w:marBottom w:val="240"/>
              <w:divBdr>
                <w:top w:val="none" w:sz="0" w:space="0" w:color="auto"/>
                <w:left w:val="none" w:sz="0" w:space="0" w:color="auto"/>
                <w:bottom w:val="none" w:sz="0" w:space="0" w:color="auto"/>
                <w:right w:val="none" w:sz="0" w:space="0" w:color="auto"/>
              </w:divBdr>
            </w:div>
            <w:div w:id="412240654">
              <w:marLeft w:val="0"/>
              <w:marRight w:val="0"/>
              <w:marTop w:val="0"/>
              <w:marBottom w:val="240"/>
              <w:divBdr>
                <w:top w:val="none" w:sz="0" w:space="0" w:color="auto"/>
                <w:left w:val="none" w:sz="0" w:space="0" w:color="auto"/>
                <w:bottom w:val="none" w:sz="0" w:space="0" w:color="auto"/>
                <w:right w:val="none" w:sz="0" w:space="0" w:color="auto"/>
              </w:divBdr>
            </w:div>
            <w:div w:id="1669405899">
              <w:marLeft w:val="0"/>
              <w:marRight w:val="0"/>
              <w:marTop w:val="0"/>
              <w:marBottom w:val="240"/>
              <w:divBdr>
                <w:top w:val="none" w:sz="0" w:space="0" w:color="auto"/>
                <w:left w:val="none" w:sz="0" w:space="0" w:color="auto"/>
                <w:bottom w:val="none" w:sz="0" w:space="0" w:color="auto"/>
                <w:right w:val="none" w:sz="0" w:space="0" w:color="auto"/>
              </w:divBdr>
            </w:div>
            <w:div w:id="528568999">
              <w:marLeft w:val="0"/>
              <w:marRight w:val="0"/>
              <w:marTop w:val="0"/>
              <w:marBottom w:val="240"/>
              <w:divBdr>
                <w:top w:val="none" w:sz="0" w:space="0" w:color="auto"/>
                <w:left w:val="none" w:sz="0" w:space="0" w:color="auto"/>
                <w:bottom w:val="none" w:sz="0" w:space="0" w:color="auto"/>
                <w:right w:val="none" w:sz="0" w:space="0" w:color="auto"/>
              </w:divBdr>
            </w:div>
            <w:div w:id="2129396564">
              <w:marLeft w:val="0"/>
              <w:marRight w:val="0"/>
              <w:marTop w:val="0"/>
              <w:marBottom w:val="240"/>
              <w:divBdr>
                <w:top w:val="none" w:sz="0" w:space="0" w:color="auto"/>
                <w:left w:val="none" w:sz="0" w:space="0" w:color="auto"/>
                <w:bottom w:val="none" w:sz="0" w:space="0" w:color="auto"/>
                <w:right w:val="none" w:sz="0" w:space="0" w:color="auto"/>
              </w:divBdr>
            </w:div>
            <w:div w:id="1160196936">
              <w:marLeft w:val="0"/>
              <w:marRight w:val="0"/>
              <w:marTop w:val="0"/>
              <w:marBottom w:val="240"/>
              <w:divBdr>
                <w:top w:val="none" w:sz="0" w:space="0" w:color="auto"/>
                <w:left w:val="none" w:sz="0" w:space="0" w:color="auto"/>
                <w:bottom w:val="none" w:sz="0" w:space="0" w:color="auto"/>
                <w:right w:val="none" w:sz="0" w:space="0" w:color="auto"/>
              </w:divBdr>
            </w:div>
            <w:div w:id="18252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500</Words>
  <Characters>2855</Characters>
  <Application>Microsoft Office Word</Application>
  <DocSecurity>0</DocSecurity>
  <Lines>23</Lines>
  <Paragraphs>6</Paragraphs>
  <ScaleCrop>false</ScaleCrop>
  <Company>Hewlett-Packard Company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2014-05-20T09:39:00Z</dcterms:created>
  <dcterms:modified xsi:type="dcterms:W3CDTF">2014-05-20T10:15:00Z</dcterms:modified>
</cp:coreProperties>
</file>